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декабря 2012 г. N 1376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ДЕЯТЕЛЬНОСТИ МНОГОФУНКЦИОНАЛЬНЫХ ЦЕНТРОВ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частью 5 статьи 15</w:t>
        </w:r>
      </w:hyperlink>
      <w:r>
        <w:rPr>
          <w:rFonts w:ascii="Calibri" w:hAnsi="Calibri" w:cs="Calibri"/>
        </w:rPr>
        <w:t xml:space="preserve"> и </w:t>
      </w:r>
      <w:hyperlink r:id="rId7" w:history="1">
        <w:r>
          <w:rPr>
            <w:rFonts w:ascii="Calibri" w:hAnsi="Calibri" w:cs="Calibri"/>
            <w:color w:val="0000FF"/>
          </w:rPr>
          <w:t>частями 1.1</w:t>
        </w:r>
      </w:hyperlink>
      <w:r>
        <w:rPr>
          <w:rFonts w:ascii="Calibri" w:hAnsi="Calibri" w:cs="Calibri"/>
        </w:rPr>
        <w:t xml:space="preserve"> и </w:t>
      </w:r>
      <w:hyperlink r:id="rId8" w:history="1">
        <w:r>
          <w:rPr>
            <w:rFonts w:ascii="Calibri" w:hAnsi="Calibri" w:cs="Calibri"/>
            <w:color w:val="0000FF"/>
          </w:rPr>
          <w:t>1.4 статьи 16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30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организации деятельности многофункциональных центров предоставления государственных и муниципальных услуг.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9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 октября 2009 г. N 796 "О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услуг" (Собрание законодательства Российской Федерации, 2009, N 41, ст. 4782).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2013 г.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Утверждены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декабря 2012 г. N 1376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ПРАВИЛА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ДЕЯТЕЛЬНОСТИ МНОГОФУНКЦИОНАЛЬНЫХ ЦЕНТРОВ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Многофункциональный центр предоставления государственных и муниципальных услуг (далее - многофункциональный центр) организует предоставление государственных и муниципальных услуг по принципу "одного окна" в соответствии с соглашениями о взаимодействии с федеральными органами исполнительной власти, органами государственных внебюджетных фондов, органами исполнительной власти субъектов Российской Федерации, органами местного самоуправления (далее соответственно - соглашение о взаимодействии; органы, предоставляющие государственные услуги;</w:t>
      </w:r>
      <w:proofErr w:type="gramEnd"/>
      <w:r>
        <w:rPr>
          <w:rFonts w:ascii="Calibri" w:hAnsi="Calibri" w:cs="Calibri"/>
        </w:rPr>
        <w:t xml:space="preserve"> органы, предоставляющие муниципальные услуги).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Многофункциональный центр действует в соответствии с законодательством Российской Федерации и своим уставом. Наименование многофункционального центра должно содержать слова "многофункциональный центр предоставления государственных и муниципальных услуг".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Многофункциональный центр осуществляет свою деятельность в соответствии с требованиями комфортности и доступности для получателей государственных и муниципальных услуг (далее - заявители), установленными настоящими Правилами.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многофункциональном центре обеспечиваются: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функционирование автоматизированной информационной системы многофункционального центра;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бесплатный доступ заявителей к федеральной государственной информационной системе "Единый портал государственных и муниципальных услуг (функций)", региональному порталу государственных и муниципальных услуг (функций);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возможность оплаты государственных и муниципальных услуг.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многофункциональном центре может быть также организовано предоставление: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услуг, которые являются необходимыми и обязательными для предоставления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услуг, предоставляемых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указанных в </w:t>
      </w:r>
      <w:hyperlink r:id="rId11" w:history="1">
        <w:r>
          <w:rPr>
            <w:rFonts w:ascii="Calibri" w:hAnsi="Calibri" w:cs="Calibri"/>
            <w:color w:val="0000FF"/>
          </w:rPr>
          <w:t>части 3 статьи 1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(далее - Федеральный закон);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дополнительных (сопутствующих) услуг (нотариальные услуги, услуги банка, копировально-множительные услуги, услуги местной, внутризоновой сети связи общего пользования, а также безвозмездные услуги доступа к справочным правовым системам).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При реализации своих функций многофункциональный центр направляет межведомственные запросы о предоставлении документов и информации (в том числе об оплате 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</w:t>
      </w:r>
      <w:proofErr w:type="gramEnd"/>
      <w:r>
        <w:rPr>
          <w:rFonts w:ascii="Calibri" w:hAnsi="Calibri" w:cs="Calibri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 с учетом положений </w:t>
      </w:r>
      <w:hyperlink r:id="rId12" w:history="1">
        <w:r>
          <w:rPr>
            <w:rFonts w:ascii="Calibri" w:hAnsi="Calibri" w:cs="Calibri"/>
            <w:color w:val="0000FF"/>
          </w:rPr>
          <w:t>части 6 статьи 7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Автоматизированная информационная система многофункционального центра подключается к единой системе межведомственного электронного взаимодействия в соответствии с </w:t>
      </w:r>
      <w:hyperlink r:id="rId1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 на безвозмездной основе.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Для организации взаимодействия с заявителями помещение многофункционального центра делится на следующие функциональные секторы (зоны):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сектор информирования и ожидания;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сектор приема заявителей.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Сектор информирования и ожидания включает в себя: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3"/>
      <w:bookmarkEnd w:id="3"/>
      <w:r>
        <w:rPr>
          <w:rFonts w:ascii="Calibri" w:hAnsi="Calibri" w:cs="Calibri"/>
        </w:rPr>
        <w:t>а) информационные стенды, содержащие актуальную и исчерпывающую информацию, необходимую для получения государственных и муниципальных услуг, в том числе: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государственных и муниципальных услуг, предоставление которых организовано в многофункциональном центре;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предоставления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размеры государственной пошлины и иных платежей, уплачиваемых заявителем при получении государственных и муниципальных услуг, порядок их уплаты;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 дополнительных (сопутствующих) услугах, а также об услугах, необходимых и обязательных для предоставления государственных и муниципальных услуг, размерах и порядке их оплаты;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обжалования действий (бездействия), а также решений органов, предоставляющих государственные услуги, и органов, предоставляющих муниципальные услуги, государственных и муниципальных служащих, многофункциональных центров, работников многофункциональных центров;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информацию о предусмотренной </w:t>
      </w:r>
      <w:hyperlink r:id="rId14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ответственности должностных лиц органов, предоставляющих государственные услуги, </w:t>
      </w:r>
      <w:r>
        <w:rPr>
          <w:rFonts w:ascii="Calibri" w:hAnsi="Calibri" w:cs="Calibri"/>
        </w:rPr>
        <w:lastRenderedPageBreak/>
        <w:t xml:space="preserve">должностных лиц органов, предоставляющих муниципальные услуги, работников многофункционального центра, работников организаций, привлекаемых к реализации функций многофункционального центра в соответствии с </w:t>
      </w:r>
      <w:hyperlink r:id="rId15" w:history="1">
        <w:r>
          <w:rPr>
            <w:rFonts w:ascii="Calibri" w:hAnsi="Calibri" w:cs="Calibri"/>
            <w:color w:val="0000FF"/>
          </w:rPr>
          <w:t>частью 1.1 статьи 16</w:t>
        </w:r>
      </w:hyperlink>
      <w:r>
        <w:rPr>
          <w:rFonts w:ascii="Calibri" w:hAnsi="Calibri" w:cs="Calibri"/>
        </w:rPr>
        <w:t xml:space="preserve"> Федерального закона и положениями </w:t>
      </w:r>
      <w:hyperlink w:anchor="Par136" w:history="1">
        <w:r>
          <w:rPr>
            <w:rFonts w:ascii="Calibri" w:hAnsi="Calibri" w:cs="Calibri"/>
            <w:color w:val="0000FF"/>
          </w:rPr>
          <w:t>пунктов 29</w:t>
        </w:r>
      </w:hyperlink>
      <w:r>
        <w:rPr>
          <w:rFonts w:ascii="Calibri" w:hAnsi="Calibri" w:cs="Calibri"/>
        </w:rPr>
        <w:t xml:space="preserve"> - </w:t>
      </w:r>
      <w:hyperlink w:anchor="Par146" w:history="1">
        <w:r>
          <w:rPr>
            <w:rFonts w:ascii="Calibri" w:hAnsi="Calibri" w:cs="Calibri"/>
            <w:color w:val="0000FF"/>
          </w:rPr>
          <w:t>31</w:t>
        </w:r>
      </w:hyperlink>
      <w:r>
        <w:rPr>
          <w:rFonts w:ascii="Calibri" w:hAnsi="Calibri" w:cs="Calibri"/>
        </w:rPr>
        <w:t xml:space="preserve"> настоящих Правил (далее - привлекаемые организации), за нарушение порядка предоставления государственных и муниципальных услуг;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информацию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работниками, а также привлекаемыми организациями или их работниками обязанностей, предусмотренных </w:t>
      </w:r>
      <w:hyperlink r:id="rId1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работы и адреса иных многофункциональных центров и привлекаемых организаций, находящихся на территории субъекта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иную информацию, необходимую для получения государственной и муниципальной услуги;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не менее одного окна (иного специально оборудованного рабочего места), предназначенного для информирования заявителей о порядке предоставления государственных и муниципальных услуг, о ходе рассмотрения запросов о предоставлении государственных и муниципальных услуг, а также для предоставления иной информации, в том числе указанной в </w:t>
      </w:r>
      <w:hyperlink w:anchor="Par53" w:history="1">
        <w:r>
          <w:rPr>
            <w:rFonts w:ascii="Calibri" w:hAnsi="Calibri" w:cs="Calibri"/>
            <w:color w:val="0000FF"/>
          </w:rPr>
          <w:t>подпункте "а"</w:t>
        </w:r>
      </w:hyperlink>
      <w:r>
        <w:rPr>
          <w:rFonts w:ascii="Calibri" w:hAnsi="Calibri" w:cs="Calibri"/>
        </w:rPr>
        <w:t xml:space="preserve"> настоящего пункта;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4"/>
      <w:bookmarkEnd w:id="4"/>
      <w:r>
        <w:rPr>
          <w:rFonts w:ascii="Calibri" w:hAnsi="Calibri" w:cs="Calibri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региональному порталу государственных и муниципальных услуг (функций), а также к информации о государственных и муниципальных услугах, предоставляемых в многофункциональном центре;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5"/>
      <w:bookmarkEnd w:id="5"/>
      <w:r>
        <w:rPr>
          <w:rFonts w:ascii="Calibri" w:hAnsi="Calibri" w:cs="Calibri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66"/>
      <w:bookmarkEnd w:id="6"/>
      <w:r>
        <w:rPr>
          <w:rFonts w:ascii="Calibri" w:hAnsi="Calibri" w:cs="Calibri"/>
        </w:rPr>
        <w:t>д) 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электронную систему управления очередью, предназначенную </w:t>
      </w:r>
      <w:proofErr w:type="gramStart"/>
      <w:r>
        <w:rPr>
          <w:rFonts w:ascii="Calibri" w:hAnsi="Calibri" w:cs="Calibri"/>
        </w:rPr>
        <w:t>для</w:t>
      </w:r>
      <w:proofErr w:type="gramEnd"/>
      <w:r>
        <w:rPr>
          <w:rFonts w:ascii="Calibri" w:hAnsi="Calibri" w:cs="Calibri"/>
        </w:rPr>
        <w:t>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регистрации заявителя в очереди;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учета заявителей в очереди, управления отдельными очередями в зависимости от видов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отображения статуса очереди;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автоматического перенаправления заявителя в очередь на обслуживание к следующему работнику многофункционального центра;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отчетов о посещаемости многофункционального центра, количестве заявителей, очередях, среднем времени ожидания (обслуживания) и о загруженности работников.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Площадь сектора информирования и ожидания определяется из расчета не менее 10 квадратных метров на одно окно.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В секторе приема заявителей </w:t>
      </w:r>
      <w:proofErr w:type="gramStart"/>
      <w:r>
        <w:rPr>
          <w:rFonts w:ascii="Calibri" w:hAnsi="Calibri" w:cs="Calibri"/>
        </w:rPr>
        <w:t>предусматривается не менее одного окна</w:t>
      </w:r>
      <w:proofErr w:type="gramEnd"/>
      <w:r>
        <w:rPr>
          <w:rFonts w:ascii="Calibri" w:hAnsi="Calibri" w:cs="Calibri"/>
        </w:rPr>
        <w:t xml:space="preserve"> на каждые 5 тысяч жителей, проживающих в муниципальном образовании, в котором располагается многофункциональный центр.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5"/>
      <w:bookmarkEnd w:id="7"/>
      <w:r>
        <w:rPr>
          <w:rFonts w:ascii="Calibri" w:hAnsi="Calibri" w:cs="Calibri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многофункционального центра, осуществляющего прием и выдачу документов.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76"/>
      <w:bookmarkEnd w:id="8"/>
      <w:r>
        <w:rPr>
          <w:rFonts w:ascii="Calibri" w:hAnsi="Calibri" w:cs="Calibri"/>
        </w:rPr>
        <w:t>Рабочее место работника многофункционального центра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В многофункциональном центре организуется отдельная телефонная линия, предназначенная для ответов на вопросы заинтересованных лиц, либо центр телефонного обслуживания, осуществляющий с помощью операторов или в автоматическом режиме прием и обслуживание вызовов, поступающих в многофункциональный центр с использованием ресурсов </w:t>
      </w:r>
      <w:r>
        <w:rPr>
          <w:rFonts w:ascii="Calibri" w:hAnsi="Calibri" w:cs="Calibri"/>
        </w:rPr>
        <w:lastRenderedPageBreak/>
        <w:t>телефонной сети общего пользования или информационно-телекоммуникационной сети "Интернет".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Здание (помещение) многофункционального центра оборудуется информационной табличкой (вывеской), содержащей полное наименование многофункционального центра, а также информацию о режиме его работы.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Вход в здание (помещение) многофункционального центра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</w:t>
      </w:r>
      <w:hyperlink r:id="rId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"Технический регламент о безопасности зданий и сооружений".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Помещения многофункционального центра, предназначенные для работы с заявителями, располагаются на нижних этажах здания и имеют отдельный вход. 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В многофункциональном центре организуется бесплатный туалет для посетителей, в том числе туалет, предназначенный для инвалидов.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На территории, прилегающей к многофункциональному центру,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83"/>
      <w:bookmarkEnd w:id="9"/>
      <w:r>
        <w:rPr>
          <w:rFonts w:ascii="Calibri" w:hAnsi="Calibri" w:cs="Calibri"/>
        </w:rPr>
        <w:t>17. Помещения многофункционального центра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предоставлении государственных и муниципальных услуг в многофункциональных центрах обеспечиваются следующие условия обслуживания заявителей: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обращение заявителей в многофункциональный центр </w:t>
      </w:r>
      <w:proofErr w:type="gramStart"/>
      <w:r>
        <w:rPr>
          <w:rFonts w:ascii="Calibri" w:hAnsi="Calibri" w:cs="Calibri"/>
        </w:rPr>
        <w:t>осуществляется</w:t>
      </w:r>
      <w:proofErr w:type="gramEnd"/>
      <w:r>
        <w:rPr>
          <w:rFonts w:ascii="Calibri" w:hAnsi="Calibri" w:cs="Calibri"/>
        </w:rPr>
        <w:t xml:space="preserve"> в том числе по предварительной записи;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время ожидания в очереди для подачи документов и получения результата услуги не превышает 15 минут;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прием заявителей в многофункциональном центре осуществляется не менее 5 дней в неделю. График (режим) работы многофункционального центра предусматривает возможность обращения за получением государственных и муниципальных услуг в вечернее время, до 20.00, и не менее чем в один из выходных дней (суббота, воскресенье).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>В случае если в административном регламенте предоставления государственной услуги или административном регламенте предоставления муниципальной услуги установлен стандарт предоставления государственной услуги или стандарт предоставления муниципальной услуги (далее - стандарт), предусматривающий более высокие требования к обслуживанию и взаимодействию с заявителем, при заключении соглашения о взаимодействии учитываются требования стандартов органов, предоставляющих государственные услуги, и органов, предоставляющих муниципальные услуги.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 многофункциональном центре </w:t>
      </w:r>
      <w:proofErr w:type="gramStart"/>
      <w:r>
        <w:rPr>
          <w:rFonts w:ascii="Calibri" w:hAnsi="Calibri" w:cs="Calibri"/>
        </w:rPr>
        <w:t>организуется не менее одного канала</w:t>
      </w:r>
      <w:proofErr w:type="gramEnd"/>
      <w:r>
        <w:rPr>
          <w:rFonts w:ascii="Calibri" w:hAnsi="Calibri" w:cs="Calibri"/>
        </w:rPr>
        <w:t xml:space="preserve"> связи, защищенного в соответствии с требованиями законодательства Российской Федерации в сфере защиты информации. Каналы связи обеспечивают функционирование электронной системы управления очередью, отдельной телефонной линии либо центра телефонного обслуживания, а также автоматизированной информационной системы многофункционального центра.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Многофункциональный центр использует автоматизированную информационную систему, обеспечивающую: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взаимодействие с единой системой межведомственного электронного взаимодействия, региональной системой межведомственного электронного взаимодействия, а также с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rPr>
          <w:rFonts w:ascii="Calibri" w:hAnsi="Calibri" w:cs="Calibri"/>
        </w:rPr>
        <w:lastRenderedPageBreak/>
        <w:t>муниципальных услуг в электронной форме", Государственной информационной системой о государственных и муниципальных платежах и инфраструктурой универсальной электронной карты;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доступ в соответствии с соглашениями о взаимодействии к электронным сервисам органов, предоставляющих государственные услуги, и органов, предоставляющих муниципальные услуги, в том числе через единую систему межведомственного электронного взаимодействия, если иное не предусмотрено законодательством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интеграцию с региональным порталом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интеграцию с электронной очередью;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экспертную поддержку заявителей, работников многофункционального центра и работников центра телефонного обслуживания по вопросам порядка и условий предоставления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поддержку деятельности работников многофункционального центра по приему, выдаче, обработке документов, поэтапную фиксацию хода предоставления государственных и муниципальных услуг с возможностью контроля сроков предоставления государственной или муниципальной услуги и проведения отдельных административных процедур;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формирование электронных комплектов документов, содержащих заявления (запросы) о предоставлении государственной или муниципальной услуги в форме электронного документа, иные электронные документы, а также электронные образы документов, необходимых для оказания государственной или муниципальной услуги. Соответствие сведений, содержащихся в электронном образе документа, сведениям, содержащимся в документе на бумажном носителе, заверяется усиленной квалифицированной электронной подписью должностного лица многофункционального центра;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"ж" 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поддержку принятия решений о возможности, составе и порядке формирования межведомственного запроса в иные органы и организации;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поддержку формирования комплекта документов для представления в орган, предоставляющий государственную услугу, или в орган, предоставляющий муниципальную услугу, в соответствии с требованиями нормативных правовых актов и соглашений о взаимодействии;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хранение сведений об истории обращений заявителей в соответствии с требованиями законодательства Российской Федерации к программно-аппаратному комплексу информационных систем персональных данных;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автоматическое распределение нагрузки между работниками многофункционального центра;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м) использование электронной подписи в соответствии с требованиями, установленными нормативными правовыми </w:t>
      </w:r>
      <w:hyperlink r:id="rId19" w:history="1">
        <w:r>
          <w:rPr>
            <w:rFonts w:ascii="Calibri" w:hAnsi="Calibri" w:cs="Calibri"/>
            <w:color w:val="0000FF"/>
          </w:rPr>
          <w:t>актами</w:t>
        </w:r>
      </w:hyperlink>
      <w:r>
        <w:rPr>
          <w:rFonts w:ascii="Calibri" w:hAnsi="Calibri" w:cs="Calibri"/>
        </w:rPr>
        <w:t xml:space="preserve"> Российской Федерации, при обработке электронных документов, а также при обмене электронными документами с федеральными органами исполнительной власти, органами государственных внебюджетных фондов, органами исполнительной власти субъекта Российской Федерации, органами местного самоуправления или привлекаемыми организациями;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доступ заявителя к информации о ходе предоставления государственной или муниципальной услуги;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формирование статистической и аналитической отчетности по итогам деятельности многофункционального центра за отчетный период;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п) поддержание информационного обмена между многофункциональными центрами и привлекаемыми организациями, в том числе поддержку мониторинга и сбора статистической отчетности о соблюдении определенных в регламентах и стандартах оказания услуг временных показателей обслуживания граждан, о количестве и качестве предоставленных государственных и муниципальных услуг, фактах досудебного обжалования нарушений при предоставлении государственных и муниципальных услуг;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интеграцию с государственными и муниципальными информационными системами, а также с центрами телефонного обслуживания органов, предоставляющих государственные услуги, органов, предоставляющих муниципальные услуги (при наличии), в соответствии с соглашениями о взаимодействии.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22. </w:t>
      </w:r>
      <w:proofErr w:type="gramStart"/>
      <w:r>
        <w:rPr>
          <w:rFonts w:ascii="Calibri" w:hAnsi="Calibri" w:cs="Calibri"/>
        </w:rPr>
        <w:t>Автоматизированная информационная система многофункционального центра обеспечивает прием запросов заявителей о предоставлении государственных и муниципальных услуг, передачу указанных запросов в информационные системы органов, предоставляющих государственные услуги, органов, предоставляющих муниципальные услуги, получение заявителем результата предоставления государственной или муниципальной услуги в уполномоченном многофункциональном центре, в любом из иных многофункциональных центров или в любой из привлекаемых организаций.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Автоматизированная информационная система многофункционального центра обеспечивает с 1 января 2014 г. идентификацию граждан в окнах обслуживания и возможность подписания документов заявителем квалифицированной электронной подписью с использованием универсальной электронной карты.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Высший исполнительный орган государственной власти субъекта Российской Федерации вправе определить один многофункциональный центр, расположенный на территории субъекта Российской Федерации, уполномоченный на заключение соглашений о взаимодействии с федеральными органами исполнительной власти, предоставляющими государственные услуги (далее - уполномоченный многофункциональный центр).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Решение высшего исполнительного органа государственной власти субъекта Российской Федерации об определении уполномоченного многофункционального центра подлежит опубликованию в порядке, установленном нормативным правовым актом субъекта Российской Федерации, и направлению в месячный срок с даты принятия такого решения в федеральные органы исполнительной власти и органы государственных внебюджетных фондов, предоставляющие государственные услуги, а также в органы исполнительной власти субъекта Российской Федерации и органы местного</w:t>
      </w:r>
      <w:proofErr w:type="gramEnd"/>
      <w:r>
        <w:rPr>
          <w:rFonts w:ascii="Calibri" w:hAnsi="Calibri" w:cs="Calibri"/>
        </w:rPr>
        <w:t xml:space="preserve"> самоуправления, находящиеся на территории соответствующего субъекта Российской Федерации.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исполнительной власти субъектов Российской Федерации и органы местного самоуправления вправе инициировать заключение соглашений о взаимодействии с уполномоченным многофункциональным центром.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Уполномоченный многофункциональный центр находится в ведении субъекта Российской Федерации и обеспечивает выполнение функций, указанных в </w:t>
      </w:r>
      <w:hyperlink w:anchor="Par114" w:history="1">
        <w:r>
          <w:rPr>
            <w:rFonts w:ascii="Calibri" w:hAnsi="Calibri" w:cs="Calibri"/>
            <w:color w:val="0000FF"/>
          </w:rPr>
          <w:t>пункте 25</w:t>
        </w:r>
      </w:hyperlink>
      <w:r>
        <w:rPr>
          <w:rFonts w:ascii="Calibri" w:hAnsi="Calibri" w:cs="Calibri"/>
        </w:rPr>
        <w:t xml:space="preserve"> настоящих Правил.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4"/>
      <w:bookmarkEnd w:id="10"/>
      <w:r>
        <w:rPr>
          <w:rFonts w:ascii="Calibri" w:hAnsi="Calibri" w:cs="Calibri"/>
        </w:rPr>
        <w:t xml:space="preserve">25. Помимо функций, предусмотренных </w:t>
      </w:r>
      <w:hyperlink r:id="rId20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Федерального закона, к функциям уполномоченного многофункционального центра относятся: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заключение соглашений о взаимодействии с федеральными органами исполнительной власти, органами государственных внебюджетных фондов, предоставляющими государственные услуги;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б) организация предоставления государственных и муниципальных услуг на территории субъекта Российской Федерации посредством заключения договоров с иными многофункциональными центрами и привлекаемыми организациями, соответствующими требованиям настоящих Правил;</w:t>
      </w:r>
      <w:proofErr w:type="gramEnd"/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контроль выполнения условий, установленных в договорах между уполномоченным многофункциональным центром и иными многофункциональными центрами и привлекаемыми организациями, расположенными на территории соответствующего субъекта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ведение реестра заключенных соглашений о взаимодействии, договоров с многофункциональными центрами, привлекаемыми организациями, а также реестра указанных многофункциональных центров, привлекаемых организаций;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функции оператора автоматизированной информационной системы многофункциональных центров.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Уполномоченный многофункциональный центр вправе: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заключать соглашения о взаимодействии с органами государственной власти субъектов Российской Федерации, предоставляющими государственные услуги, и с органами местного самоуправления, предоставляющими муниципальные услуги;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участвовать в качестве оператора региональной системы межведомственного электронного взаимодействия при закреплении за ним субъектом Российской </w:t>
      </w:r>
      <w:proofErr w:type="gramStart"/>
      <w:r>
        <w:rPr>
          <w:rFonts w:ascii="Calibri" w:hAnsi="Calibri" w:cs="Calibri"/>
        </w:rPr>
        <w:t xml:space="preserve">Федерации </w:t>
      </w:r>
      <w:r>
        <w:rPr>
          <w:rFonts w:ascii="Calibri" w:hAnsi="Calibri" w:cs="Calibri"/>
        </w:rPr>
        <w:lastRenderedPageBreak/>
        <w:t>функций оператора региональной системы межведомственного электронного взаимодействия</w:t>
      </w:r>
      <w:proofErr w:type="gramEnd"/>
      <w:r>
        <w:rPr>
          <w:rFonts w:ascii="Calibri" w:hAnsi="Calibri" w:cs="Calibri"/>
        </w:rPr>
        <w:t>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методическую и консультационную поддержку иных многофункциональных центров, находящихся на территории субъекта Российской Федерации, по вопросам организации предоставления государственных и муниципальных услуг;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организовывать обучение и повышение квалификации работников многофункциональных центров и привлекаемых организаций, находящихся на территории субъекта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готовить предложения по совершенствованию системы предоставления государственных и муниципальных услуг по принципу "одного окна" и в электронной форме на территории субъекта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участвовать в подготовке перечней государственных и муниципальных услуг, предоставляемых в многофункциональных центрах;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осуществлять мониторинг качества предоставления государственных и муниципальных услуг по принципу "одного окна" на территории соответствующего субъекта Российской Федерации.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Уполномоченный многофункциональный центр может быть наделен органом государственной власти субъекта Российской Федерации функциями уполномоченной организации по внедрению универсальных электронных карт на территории субъекта Российской Федерации.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Уполномоченный многофункциональный центр обеспечивает размещение в информационно-телекоммуникационной сети "Интернет" следующей информации: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графическое изображение карты субъекта Российской Федерации с указанием расположения действующих и планируемых к открытию многофункциональных центров и привлекаемых организаций в муниципальных образованиях;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реестр заключенных соглашений о взаимодействии, договоров с многофункциональными центрами, привлекаемыми организациями;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информация о многофункциональных центрах (адрес, фамилия, имя, отчество руководителя, график работы, площадь, количество окон, общее количество предоставляемых государственных и муниципальных услуг, сведения об иных услугах);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перечень предоставляемых государственных и муниципальных услуг и количество предоставленных государственных и муниципальных услуг (за отчетный период) в многофункциональных центрах, привлекаемых организациях;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сведения, указанные в </w:t>
      </w:r>
      <w:hyperlink w:anchor="Par53" w:history="1">
        <w:r>
          <w:rPr>
            <w:rFonts w:ascii="Calibri" w:hAnsi="Calibri" w:cs="Calibri"/>
            <w:color w:val="0000FF"/>
          </w:rPr>
          <w:t>подпункте "а" пункта 8</w:t>
        </w:r>
      </w:hyperlink>
      <w:r>
        <w:rPr>
          <w:rFonts w:ascii="Calibri" w:hAnsi="Calibri" w:cs="Calibri"/>
        </w:rPr>
        <w:t xml:space="preserve"> настоящих Правил;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иные сведения.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36"/>
      <w:bookmarkEnd w:id="11"/>
      <w:r>
        <w:rPr>
          <w:rFonts w:ascii="Calibri" w:hAnsi="Calibri" w:cs="Calibri"/>
        </w:rPr>
        <w:t>29. Уполномоченный многофункциональный центр обеспечивает предоставление в многофункциональных центрах и (или) привлекаемых организациях, находящихся на территории субъекта Российской Федерации, услуг федеральных органов исполнительной власти, органов государственных внебюджетных фондов, органов исполнительной власти субъекта Российской Федерации, органов местного самоуправления посредством заключения договоров, в том числе устанавливающих: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права и обязанности уполномоченного многофункционального центра;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функции, права и обязанности иного многофункционального центра и (или) привлекаемой организации;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перечень федеральных органов исполнительной власти, органов государственных внебюджетных фондов, органов государственной власти субъекта Российской Федерации, органов местного самоуправления, предоставление услуг которых организуется уполномоченным многофункциональным центром через иной многофункциональный центр и (или) привлекаемую организацию;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перечень государственных и муниципальных услуг, организация предоставления которых будет осуществляться через иной многофункциональный центр, привлекаемую организацию;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ответственность сторон;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порядок и формы контроля и отчетности;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порядок взаимодействия уполномоченного многофункционального центра, иного многофункционального центра, а также привлекаемых организаций;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з) иные условия.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30. Уполномоченный многофункциональный центр вправе организовать предоставление государственных и муниципальных услуг в привлекаемых организациях, если иное не предусмотрено федеральными законами.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46"/>
      <w:bookmarkEnd w:id="12"/>
      <w:r>
        <w:rPr>
          <w:rFonts w:ascii="Calibri" w:hAnsi="Calibri" w:cs="Calibri"/>
        </w:rPr>
        <w:t>31. В договоре, заключаемом уполномоченным многофункциональным центром и привлекаемой организацией, определяются перечень муниципальных образований, на территории которых организуется предоставление государственных и муниципальных услуг, перечень функций многофункционального центра, для реализации которых привлекается данная организация, а также порядок взаимодействия уполномоченного многофункционального центра и привлекаемой организации.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Привлекаемые организации должны отвечать следующим требованиям: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сети филиалов (отделений) на территории не менее 50 процентов муниципальных образований, входящих в состав субъекта Российской Федерации;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наличие защищенных каналов связи, соответствующих требованиям законодательства Российской Федерации в сфере защиты информации. Указанные каналы связи обеспечивают функционирование информационной системы, позволяющей осуществлять информационное взаимодействие при организации предоставления государственных и муниципальных услуг по принципу "одного окна";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наличие инфраструктуры, обеспечивающей доступ к информационно-телекоммуникационной сети "Интернет", и материально-технического обеспечения, соответствующего требованиям </w:t>
      </w:r>
      <w:hyperlink w:anchor="Par76" w:history="1">
        <w:r>
          <w:rPr>
            <w:rFonts w:ascii="Calibri" w:hAnsi="Calibri" w:cs="Calibri"/>
            <w:color w:val="0000FF"/>
          </w:rPr>
          <w:t>абзаца третьего пункта 10</w:t>
        </w:r>
      </w:hyperlink>
      <w:r>
        <w:rPr>
          <w:rFonts w:ascii="Calibri" w:hAnsi="Calibri" w:cs="Calibri"/>
        </w:rPr>
        <w:t xml:space="preserve"> настоящих Правил;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наличие не менее одного окна для приема и выдачи документов на каждые 2 тыс. жителей муниципального образования, на территории которого осуществляет свою деятельность привлекаемая организация.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Обслуживание заявителей в привлекаемой организации осуществляется в соответствии со следующими требованиями: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прием заявителей осуществляется не менее 3 дней в неделю и не менее 6 часов в день;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максимальный срок ожидания в очереди - 15 минут;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условия комфортности приема заявителей должны соответствовать требованиям, установленным </w:t>
      </w:r>
      <w:hyperlink w:anchor="Par53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, </w:t>
      </w:r>
      <w:hyperlink w:anchor="Par64" w:history="1">
        <w:r>
          <w:rPr>
            <w:rFonts w:ascii="Calibri" w:hAnsi="Calibri" w:cs="Calibri"/>
            <w:color w:val="0000FF"/>
          </w:rPr>
          <w:t>"в"</w:t>
        </w:r>
      </w:hyperlink>
      <w:r>
        <w:rPr>
          <w:rFonts w:ascii="Calibri" w:hAnsi="Calibri" w:cs="Calibri"/>
        </w:rPr>
        <w:t xml:space="preserve">, </w:t>
      </w:r>
      <w:hyperlink w:anchor="Par65" w:history="1">
        <w:r>
          <w:rPr>
            <w:rFonts w:ascii="Calibri" w:hAnsi="Calibri" w:cs="Calibri"/>
            <w:color w:val="0000FF"/>
          </w:rPr>
          <w:t>"г"</w:t>
        </w:r>
      </w:hyperlink>
      <w:r>
        <w:rPr>
          <w:rFonts w:ascii="Calibri" w:hAnsi="Calibri" w:cs="Calibri"/>
        </w:rPr>
        <w:t xml:space="preserve"> и </w:t>
      </w:r>
      <w:hyperlink w:anchor="Par66" w:history="1">
        <w:r>
          <w:rPr>
            <w:rFonts w:ascii="Calibri" w:hAnsi="Calibri" w:cs="Calibri"/>
            <w:color w:val="0000FF"/>
          </w:rPr>
          <w:t>"д" пункта 8</w:t>
        </w:r>
      </w:hyperlink>
      <w:r>
        <w:rPr>
          <w:rFonts w:ascii="Calibri" w:hAnsi="Calibri" w:cs="Calibri"/>
        </w:rPr>
        <w:t xml:space="preserve">, </w:t>
      </w:r>
      <w:hyperlink w:anchor="Par75" w:history="1">
        <w:r>
          <w:rPr>
            <w:rFonts w:ascii="Calibri" w:hAnsi="Calibri" w:cs="Calibri"/>
            <w:color w:val="0000FF"/>
          </w:rPr>
          <w:t>абзацем вторым пункта 10</w:t>
        </w:r>
      </w:hyperlink>
      <w:r>
        <w:rPr>
          <w:rFonts w:ascii="Calibri" w:hAnsi="Calibri" w:cs="Calibri"/>
        </w:rPr>
        <w:t xml:space="preserve">, </w:t>
      </w:r>
      <w:hyperlink w:anchor="Par83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настоящих Правил, за исключением требования об оборудовании помещений системой кондиционирования воздуха.</w:t>
      </w: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27A9" w:rsidRDefault="002A27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27A9" w:rsidRDefault="002A27A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57690" w:rsidRDefault="00157690">
      <w:bookmarkStart w:id="13" w:name="_GoBack"/>
      <w:bookmarkEnd w:id="13"/>
    </w:p>
    <w:sectPr w:rsidR="00157690" w:rsidSect="005A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A9"/>
    <w:rsid w:val="00157690"/>
    <w:rsid w:val="002A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2B85370B7B1D3DB78F62212C0088D50274AE06C118579A95949827F8573B0E2D3A646BE0c6j1M" TargetMode="External"/><Relationship Id="rId13" Type="http://schemas.openxmlformats.org/officeDocument/2006/relationships/hyperlink" Target="consultantplus://offline/ref=B22B85370B7B1D3DB78F62212C0088D50274AC05C518579A95949827F8c5j7M" TargetMode="External"/><Relationship Id="rId18" Type="http://schemas.openxmlformats.org/officeDocument/2006/relationships/hyperlink" Target="consultantplus://offline/ref=B22B85370B7B1D3DB78F62212C0088D50274AC07C31C579A95949827F8573B0E2D3A646BE761FCB3c3j4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22B85370B7B1D3DB78F62212C0088D50274AE06C118579A95949827F8573B0E2D3A646BE1c6j6M" TargetMode="External"/><Relationship Id="rId12" Type="http://schemas.openxmlformats.org/officeDocument/2006/relationships/hyperlink" Target="consultantplus://offline/ref=B22B85370B7B1D3DB78F62212C0088D50274AE06C118579A95949827F8573B0E2D3A646EcEj4M" TargetMode="External"/><Relationship Id="rId17" Type="http://schemas.openxmlformats.org/officeDocument/2006/relationships/hyperlink" Target="consultantplus://offline/ref=B22B85370B7B1D3DB78F62212C0088D50275A000C215579A95949827F8c5j7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2B85370B7B1D3DB78F62212C0088D50274AE01C31E579A95949827F8573B0E2D3A646BE763FAB3c3j5M" TargetMode="External"/><Relationship Id="rId20" Type="http://schemas.openxmlformats.org/officeDocument/2006/relationships/hyperlink" Target="consultantplus://offline/ref=B22B85370B7B1D3DB78F62212C0088D50274AE06C118579A95949827F8573B0E2D3A646BE1c6j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2B85370B7B1D3DB78F62212C0088D50274AE06C118579A95949827F8573B0E2D3A646BE761FFB3c3j0M" TargetMode="External"/><Relationship Id="rId11" Type="http://schemas.openxmlformats.org/officeDocument/2006/relationships/hyperlink" Target="consultantplus://offline/ref=B22B85370B7B1D3DB78F62212C0088D50274AE06C118579A95949827F8573B0E2D3A646BE761FCB0c3j1M" TargetMode="External"/><Relationship Id="rId5" Type="http://schemas.openxmlformats.org/officeDocument/2006/relationships/hyperlink" Target="consultantplus://offline/ref=B22B85370B7B1D3DB78F62212C0088D50274AC07C31C579A95949827F8573B0E2D3A646BE761FCB3c3j4M" TargetMode="External"/><Relationship Id="rId15" Type="http://schemas.openxmlformats.org/officeDocument/2006/relationships/hyperlink" Target="consultantplus://offline/ref=B22B85370B7B1D3DB78F62212C0088D50274AE06C118579A95949827F8573B0E2D3A646BE1c6j6M" TargetMode="External"/><Relationship Id="rId10" Type="http://schemas.openxmlformats.org/officeDocument/2006/relationships/hyperlink" Target="consultantplus://offline/ref=B22B85370B7B1D3DB78F62212C0088D50274AC07C31C579A95949827F8573B0E2D3A646BE761FCB3c3j4M" TargetMode="External"/><Relationship Id="rId19" Type="http://schemas.openxmlformats.org/officeDocument/2006/relationships/hyperlink" Target="consultantplus://offline/ref=B22B85370B7B1D3DB78F62212C0088D50275A000CA1F579A95949827F8c5j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2B85370B7B1D3DB78F62212C0088D50A73AB03C6170A909DCD9425cFjFM" TargetMode="External"/><Relationship Id="rId14" Type="http://schemas.openxmlformats.org/officeDocument/2006/relationships/hyperlink" Target="consultantplus://offline/ref=B22B85370B7B1D3DB78F62212C0088D50274AE06C118579A95949827F8573B0E2D3A646BE0c6j3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4366</Words>
  <Characters>24890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Шипунова, Татьяна Владимировна</dc:creator>
  <cp:keywords/>
  <dc:description/>
  <cp:lastModifiedBy>Шипунова, Татьяна Владимировна</cp:lastModifiedBy>
  <cp:revision>1</cp:revision>
  <dcterms:created xsi:type="dcterms:W3CDTF">2014-03-20T12:35:00Z</dcterms:created>
  <dcterms:modified xsi:type="dcterms:W3CDTF">2014-03-20T12:36:00Z</dcterms:modified>
</cp:coreProperties>
</file>